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Критерий "Комфортность условий предоставления услуг":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Обеспечение в организации комфортных условий для предоставления услуг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82"/>
        <w:tblW w:w="5000" w:type="pct"/>
        <w:tblLook w:val="04A0" w:firstRow="1" w:lastRow="0" w:firstColumn="1" w:lastColumn="0" w:noHBand="0" w:noVBand="1"/>
      </w:tblPr>
      <w:tblGrid>
        <w:gridCol w:w="469"/>
        <w:gridCol w:w="6495"/>
        <w:gridCol w:w="2607"/>
      </w:tblGrid>
      <w:tr w:rsidR="00EA39BB" w:rsidRPr="006D07D4" w:rsidTr="0028546D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r w:rsidRPr="006D07D4">
              <w:rPr>
                <w:rFonts w:eastAsia="Century Gothic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комфортной зоны отдыха (ожидания), оборудованной соответствующей мебелью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понятность навигации внутри образовательной организации,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питьевой воды (наличие </w:t>
            </w:r>
            <w:proofErr w:type="gramStart"/>
            <w:r w:rsidRPr="006D07D4">
              <w:rPr>
                <w:rFonts w:eastAsia="Century Gothic"/>
              </w:rPr>
              <w:t>работающего</w:t>
            </w:r>
            <w:proofErr w:type="gramEnd"/>
            <w:r w:rsidRPr="006D07D4">
              <w:rPr>
                <w:rFonts w:eastAsia="Century Gothic"/>
              </w:rPr>
              <w:t xml:space="preserve"> кулера),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санитарное состояние помещений образовательной организации. </w:t>
            </w:r>
            <w:proofErr w:type="gramStart"/>
            <w:r w:rsidRPr="006D07D4">
              <w:rPr>
                <w:rFonts w:eastAsia="Century Gothic"/>
              </w:rPr>
              <w:t>Критерии: нет замечаний/есть замечания (какие именно, укажите:____________________</w:t>
            </w:r>
            <w:proofErr w:type="gramEnd"/>
          </w:p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entury Gothic"/>
              </w:rPr>
              <w:t>____________________________________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6.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7.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сферы);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Критерий "Доступность услуг для инвалидов":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3A30C3" w:rsidP="00EA39BB">
      <w:pPr>
        <w:ind w:firstLine="708"/>
        <w:jc w:val="both"/>
        <w:rPr>
          <w:rFonts w:eastAsia="Calibri"/>
          <w:b/>
        </w:rPr>
      </w:pPr>
      <w:r>
        <w:rPr>
          <w:rFonts w:eastAsia="Calibri"/>
          <w:b/>
        </w:rPr>
        <w:t>о</w:t>
      </w:r>
      <w:r w:rsidR="00EA39BB" w:rsidRPr="006D07D4">
        <w:rPr>
          <w:rFonts w:eastAsia="Calibri"/>
          <w:b/>
        </w:rPr>
        <w:t>борудование территории, прилегающей к образовательной организации, и ее помещений с учетом доступности инвалидов.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2"/>
        <w:gridCol w:w="5496"/>
        <w:gridCol w:w="1602"/>
      </w:tblGrid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 xml:space="preserve">№ </w:t>
            </w:r>
            <w:proofErr w:type="gramStart"/>
            <w:r w:rsidRPr="006D07D4">
              <w:rPr>
                <w:rFonts w:eastAsia="Century Gothic"/>
                <w:b/>
              </w:rPr>
              <w:t>п</w:t>
            </w:r>
            <w:proofErr w:type="gramEnd"/>
            <w:r w:rsidRPr="006D07D4">
              <w:rPr>
                <w:rFonts w:eastAsia="Century Gothic"/>
                <w:b/>
              </w:rPr>
              <w:t>/п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оборудованных входных групп пандусами/подъемными платформами;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адаптированных лифтов, поручней, расширенных дверных проемов,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сменных кресел-колясок,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Default="00EA39BB" w:rsidP="00EA39BB">
      <w:pPr>
        <w:ind w:firstLine="708"/>
        <w:jc w:val="both"/>
        <w:rPr>
          <w:rFonts w:eastAsia="Calibri"/>
        </w:rPr>
      </w:pPr>
    </w:p>
    <w:p w:rsidR="003A30C3" w:rsidRDefault="003A30C3" w:rsidP="00EA39BB">
      <w:pPr>
        <w:ind w:firstLine="708"/>
        <w:jc w:val="both"/>
        <w:rPr>
          <w:rFonts w:eastAsia="Calibri"/>
        </w:rPr>
      </w:pPr>
    </w:p>
    <w:p w:rsidR="003A30C3" w:rsidRDefault="003A30C3" w:rsidP="00EA39BB">
      <w:pPr>
        <w:ind w:firstLine="708"/>
        <w:jc w:val="both"/>
        <w:rPr>
          <w:rFonts w:eastAsia="Calibri"/>
        </w:rPr>
      </w:pPr>
    </w:p>
    <w:p w:rsidR="003A30C3" w:rsidRPr="006D07D4" w:rsidRDefault="003A30C3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lastRenderedPageBreak/>
        <w:t>Обеспечение в образовательной организации условий доступности, позволяющих инвалидам получать образовательные услуги наравне с другими, включая: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  <w:r w:rsidRPr="006D07D4">
        <w:rPr>
          <w:rFonts w:eastAsia="Calibri"/>
        </w:rPr>
        <w:t xml:space="preserve"> </w:t>
      </w: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559"/>
      </w:tblGrid>
      <w:tr w:rsidR="00EA39BB" w:rsidRPr="006D07D4" w:rsidTr="002854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 xml:space="preserve">№ </w:t>
            </w:r>
            <w:proofErr w:type="gramStart"/>
            <w:r w:rsidRPr="006D07D4">
              <w:rPr>
                <w:rFonts w:eastAsia="Century Gothic"/>
                <w:b/>
              </w:rPr>
              <w:t>п</w:t>
            </w:r>
            <w:proofErr w:type="gramEnd"/>
            <w:r w:rsidRPr="006D07D4">
              <w:rPr>
                <w:rFonts w:eastAsia="Century Gothic"/>
                <w:b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6D07D4">
              <w:rPr>
                <w:rFonts w:eastAsia="Century Gothic"/>
                <w:color w:val="000000"/>
              </w:rPr>
              <w:t>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 xml:space="preserve"> (</w:t>
            </w:r>
            <w:proofErr w:type="spellStart"/>
            <w:r w:rsidRPr="006D07D4">
              <w:rPr>
                <w:rFonts w:eastAsia="Century Gothic"/>
                <w:color w:val="000000"/>
              </w:rPr>
              <w:t>тифлосурдопереводчика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альтернативной версии официального сайта организации в сети "Интернет" для инвалидов по зрению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proofErr w:type="gramStart"/>
            <w:r w:rsidRPr="006D07D4">
              <w:rPr>
                <w:rFonts w:eastAsia="Century Gothic"/>
                <w:color w:val="000000"/>
              </w:rPr>
              <w:t>помощь</w:t>
            </w:r>
            <w:proofErr w:type="gramEnd"/>
            <w:r w:rsidRPr="006D07D4">
              <w:rPr>
                <w:rFonts w:eastAsia="Century Gothic"/>
                <w:color w:val="000000"/>
              </w:rPr>
              <w:t xml:space="preserve">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A426C3" w:rsidRDefault="00A426C3">
      <w:bookmarkStart w:id="0" w:name="_GoBack"/>
      <w:bookmarkEnd w:id="0"/>
    </w:p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BC2"/>
    <w:multiLevelType w:val="hybridMultilevel"/>
    <w:tmpl w:val="9F4CA29C"/>
    <w:lvl w:ilvl="0" w:tplc="237A5872">
      <w:start w:val="1"/>
      <w:numFmt w:val="upperRoman"/>
      <w:suff w:val="space"/>
      <w:lvlText w:val="%1."/>
      <w:lvlJc w:val="left"/>
      <w:pPr>
        <w:ind w:left="1288" w:hanging="72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093447"/>
    <w:multiLevelType w:val="hybridMultilevel"/>
    <w:tmpl w:val="98F470AE"/>
    <w:lvl w:ilvl="0" w:tplc="1CD2E5C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D1477"/>
    <w:multiLevelType w:val="hybridMultilevel"/>
    <w:tmpl w:val="5C464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BB"/>
    <w:rsid w:val="003A30C3"/>
    <w:rsid w:val="00A426C3"/>
    <w:rsid w:val="00E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2">
    <w:name w:val="Сетка таблицы182"/>
    <w:basedOn w:val="a1"/>
    <w:uiPriority w:val="39"/>
    <w:rsid w:val="00EA39BB"/>
    <w:pPr>
      <w:spacing w:after="0" w:line="240" w:lineRule="auto"/>
    </w:pPr>
    <w:rPr>
      <w:rFonts w:ascii="Century Gothic" w:eastAsia="Times New Roman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39"/>
    <w:rsid w:val="00EA39BB"/>
    <w:pPr>
      <w:spacing w:after="0" w:line="240" w:lineRule="auto"/>
    </w:pPr>
    <w:rPr>
      <w:rFonts w:ascii="Century Gothic" w:eastAsia="Calibri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2">
    <w:name w:val="Сетка таблицы182"/>
    <w:basedOn w:val="a1"/>
    <w:uiPriority w:val="39"/>
    <w:rsid w:val="00EA39BB"/>
    <w:pPr>
      <w:spacing w:after="0" w:line="240" w:lineRule="auto"/>
    </w:pPr>
    <w:rPr>
      <w:rFonts w:ascii="Century Gothic" w:eastAsia="Times New Roman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39"/>
    <w:rsid w:val="00EA39BB"/>
    <w:pPr>
      <w:spacing w:after="0" w:line="240" w:lineRule="auto"/>
    </w:pPr>
    <w:rPr>
      <w:rFonts w:ascii="Century Gothic" w:eastAsia="Calibri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2020-04-16T13:32:00Z</dcterms:created>
  <dcterms:modified xsi:type="dcterms:W3CDTF">2020-06-25T10:11:00Z</dcterms:modified>
</cp:coreProperties>
</file>